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0D0743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2022-2023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0D07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 2023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23</w:t>
      </w:r>
    </w:p>
    <w:p w:rsidR="00C13FAA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О.Н.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критериально-диагностических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CB06CD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 детей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- 42 %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C13FAA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уровень-39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4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proofErr w:type="gramStart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конец года).</w:t>
      </w:r>
    </w:p>
    <w:p w:rsidR="00747261" w:rsidRDefault="00747261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</w:t>
      </w:r>
      <w:r w:rsidR="00747261">
        <w:rPr>
          <w:rFonts w:ascii="Times New Roman" w:eastAsia="Times New Roman" w:hAnsi="Times New Roman" w:cs="Times New Roman"/>
          <w:lang w:eastAsia="ru-RU"/>
        </w:rPr>
        <w:t>детей: 23</w:t>
      </w:r>
    </w:p>
    <w:p w:rsidR="00184266" w:rsidRPr="00550BEB" w:rsidRDefault="00747261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="00CB06CD">
        <w:rPr>
          <w:rFonts w:ascii="Times New Roman" w:eastAsia="Times New Roman" w:hAnsi="Times New Roman" w:cs="Times New Roman"/>
          <w:lang w:eastAsia="ru-RU"/>
        </w:rPr>
        <w:t>(40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>10 (50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CB06CD">
        <w:rPr>
          <w:rFonts w:ascii="Times New Roman" w:eastAsia="Times New Roman" w:hAnsi="Times New Roman" w:cs="Times New Roman"/>
          <w:lang w:eastAsia="ru-RU"/>
        </w:rPr>
        <w:t>2 (10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 w:rsidRPr="00550BEB">
        <w:rPr>
          <w:rFonts w:ascii="Times New Roman" w:hAnsi="Times New Roman"/>
        </w:rPr>
        <w:t>со</w:t>
      </w:r>
      <w:proofErr w:type="gramEnd"/>
      <w:r w:rsidRPr="00550BEB">
        <w:rPr>
          <w:rFonts w:ascii="Times New Roman" w:hAnsi="Times New Roman"/>
        </w:rPr>
        <w:t xml:space="preserve">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47261">
        <w:rPr>
          <w:rFonts w:ascii="Times New Roman" w:eastAsia="Times New Roman" w:hAnsi="Times New Roman" w:cs="Times New Roman"/>
          <w:lang w:eastAsia="ru-RU"/>
        </w:rPr>
        <w:t>: 23</w:t>
      </w:r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17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4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(15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952D0">
        <w:rPr>
          <w:rFonts w:ascii="Times New Roman" w:eastAsia="Times New Roman" w:hAnsi="Times New Roman" w:cs="Times New Roman"/>
          <w:lang w:eastAsia="ru-RU"/>
        </w:rPr>
        <w:t>23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5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16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8952D0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9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B06C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(10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8952D0">
        <w:rPr>
          <w:rFonts w:ascii="Times New Roman" w:hAnsi="Times New Roman"/>
          <w:b/>
          <w:sz w:val="28"/>
          <w:szCs w:val="28"/>
        </w:rPr>
        <w:t>2023-2024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  <w:bookmarkStart w:id="0" w:name="_GoBack"/>
      <w:bookmarkEnd w:id="0"/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0E0"/>
    <w:rsid w:val="00036A5D"/>
    <w:rsid w:val="000D0743"/>
    <w:rsid w:val="00184266"/>
    <w:rsid w:val="00226B83"/>
    <w:rsid w:val="00323367"/>
    <w:rsid w:val="005125E1"/>
    <w:rsid w:val="005A7EE3"/>
    <w:rsid w:val="006E0E6E"/>
    <w:rsid w:val="00747261"/>
    <w:rsid w:val="007D23E3"/>
    <w:rsid w:val="008952D0"/>
    <w:rsid w:val="008E50E0"/>
    <w:rsid w:val="00B35DCD"/>
    <w:rsid w:val="00C13FAA"/>
    <w:rsid w:val="00C458B6"/>
    <w:rsid w:val="00CB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2022-2023 учебный год в %
МБДОУ</a:t>
            </a:r>
            <a:r>
              <a:rPr lang="ru-RU" baseline="0"/>
              <a:t> 87 "Улыбка" </a:t>
            </a:r>
            <a:r>
              <a:rPr lang="ru-RU"/>
              <a:t>
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конец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</a:t>
            </a:r>
          </a:p>
        </c:rich>
      </c:tx>
      <c:layout>
        <c:manualLayout>
          <c:xMode val="edge"/>
          <c:yMode val="edge"/>
          <c:x val="0.13471055701370663"/>
          <c:y val="1.9841269841269854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15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 "Улыбка", конец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12</cp:revision>
  <cp:lastPrinted>2021-10-26T10:18:00Z</cp:lastPrinted>
  <dcterms:created xsi:type="dcterms:W3CDTF">2021-02-28T08:21:00Z</dcterms:created>
  <dcterms:modified xsi:type="dcterms:W3CDTF">2024-01-03T07:09:00Z</dcterms:modified>
</cp:coreProperties>
</file>